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A" w:rsidRDefault="00F5130A" w:rsidP="00F5130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35"/>
        <w:gridCol w:w="381"/>
        <w:gridCol w:w="509"/>
        <w:gridCol w:w="1236"/>
        <w:gridCol w:w="713"/>
        <w:gridCol w:w="263"/>
        <w:gridCol w:w="155"/>
        <w:gridCol w:w="119"/>
        <w:gridCol w:w="666"/>
        <w:gridCol w:w="305"/>
        <w:gridCol w:w="314"/>
        <w:gridCol w:w="582"/>
        <w:gridCol w:w="281"/>
        <w:gridCol w:w="1667"/>
      </w:tblGrid>
      <w:tr w:rsidR="00442C91" w:rsidTr="00DF582D">
        <w:tc>
          <w:tcPr>
            <w:tcW w:w="5000" w:type="pct"/>
            <w:gridSpan w:val="15"/>
            <w:shd w:val="pct25" w:color="auto" w:fill="auto"/>
          </w:tcPr>
          <w:p w:rsidR="00442C91" w:rsidRPr="00E80631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442C91" w:rsidTr="00991C69">
        <w:tc>
          <w:tcPr>
            <w:tcW w:w="627" w:type="pct"/>
            <w:shd w:val="pct10" w:color="auto" w:fill="auto"/>
            <w:vAlign w:val="center"/>
          </w:tcPr>
          <w:p w:rsidR="00442C91" w:rsidRPr="00E80631" w:rsidRDefault="00442C91" w:rsidP="00991C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4373" w:type="pct"/>
            <w:gridSpan w:val="14"/>
          </w:tcPr>
          <w:p w:rsidR="00442C91" w:rsidRPr="00E80631" w:rsidRDefault="00BF1593" w:rsidP="0099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Análisis y elaboración de materiales para el desarrollo de las destrezas comunicativas en el aula de español L2. TIC y español L2: materiales para la enseñanza 2.0</w:t>
            </w:r>
          </w:p>
        </w:tc>
      </w:tr>
      <w:tr w:rsidR="00434B4C" w:rsidTr="00B2262E">
        <w:tc>
          <w:tcPr>
            <w:tcW w:w="627" w:type="pct"/>
            <w:tcBorders>
              <w:bottom w:val="single" w:sz="4" w:space="0" w:color="auto"/>
            </w:tcBorders>
            <w:shd w:val="pct10" w:color="auto" w:fill="auto"/>
          </w:tcPr>
          <w:p w:rsidR="00434B4C" w:rsidRPr="00E80631" w:rsidRDefault="00434B4C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759" w:type="pct"/>
            <w:gridSpan w:val="3"/>
            <w:tcBorders>
              <w:bottom w:val="single" w:sz="4" w:space="0" w:color="auto"/>
            </w:tcBorders>
          </w:tcPr>
          <w:p w:rsidR="00434B4C" w:rsidRPr="00E80631" w:rsidRDefault="00434B4C" w:rsidP="00434B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7C">
              <w:rPr>
                <w:rFonts w:ascii="Arial" w:hAnsi="Arial" w:cs="Arial"/>
                <w:sz w:val="24"/>
                <w:szCs w:val="24"/>
              </w:rPr>
              <w:t>056310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34B4C" w:rsidRPr="00E80631" w:rsidRDefault="00434B4C" w:rsidP="00EE32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Créditos ECTS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34B4C" w:rsidRPr="00E80631" w:rsidRDefault="00434B4C" w:rsidP="00EE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7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434B4C" w:rsidRPr="00E80631" w:rsidRDefault="00434B4C" w:rsidP="00EE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1452" w:type="pct"/>
            <w:gridSpan w:val="3"/>
            <w:tcBorders>
              <w:bottom w:val="single" w:sz="4" w:space="0" w:color="auto"/>
            </w:tcBorders>
          </w:tcPr>
          <w:p w:rsidR="00434B4C" w:rsidRPr="00E80631" w:rsidRDefault="00434B4C" w:rsidP="00EE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Español </w:t>
            </w:r>
          </w:p>
        </w:tc>
      </w:tr>
      <w:tr w:rsidR="0096670A" w:rsidTr="00B2262E">
        <w:tc>
          <w:tcPr>
            <w:tcW w:w="1386" w:type="pct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obligatorio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</w:tcPr>
          <w:p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pct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optativo</w:t>
            </w:r>
          </w:p>
        </w:tc>
        <w:tc>
          <w:tcPr>
            <w:tcW w:w="14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70A" w:rsidRPr="00E80631" w:rsidRDefault="00434B4C" w:rsidP="00434B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6670A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10" w:color="auto" w:fill="auto"/>
          </w:tcPr>
          <w:p w:rsidR="0096670A" w:rsidRPr="00E80631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previos</w:t>
            </w:r>
          </w:p>
        </w:tc>
      </w:tr>
      <w:tr w:rsidR="0096670A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670A" w:rsidRPr="00E80631" w:rsidRDefault="00434B4C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27">
              <w:rPr>
                <w:rFonts w:ascii="Arial" w:hAnsi="Arial" w:cs="Arial"/>
                <w:sz w:val="24"/>
                <w:szCs w:val="24"/>
              </w:rPr>
              <w:t>Conocimiento de la lengua española equivalente a</w:t>
            </w:r>
            <w:r>
              <w:rPr>
                <w:rFonts w:ascii="Arial" w:hAnsi="Arial" w:cs="Arial"/>
                <w:sz w:val="24"/>
                <w:szCs w:val="24"/>
              </w:rPr>
              <w:t>l nivel B2 del MCERL o superior.</w:t>
            </w:r>
          </w:p>
        </w:tc>
      </w:tr>
      <w:tr w:rsidR="0096670A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10" w:color="auto" w:fill="auto"/>
          </w:tcPr>
          <w:p w:rsidR="0096670A" w:rsidRPr="00E80631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Recomendaciones</w:t>
            </w:r>
          </w:p>
        </w:tc>
      </w:tr>
      <w:tr w:rsidR="0096670A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670A" w:rsidRPr="00E80631" w:rsidRDefault="008A30BB" w:rsidP="008A30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conocimientos gramaticales avanzados de lengua española y básicos de lingüística textual o discursiva.</w:t>
            </w:r>
          </w:p>
        </w:tc>
      </w:tr>
      <w:tr w:rsidR="00BE049F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E049F" w:rsidRPr="00E80631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COORDINADOR</w:t>
            </w:r>
          </w:p>
        </w:tc>
      </w:tr>
      <w:tr w:rsidR="00BE049F" w:rsidTr="00B2262E">
        <w:tc>
          <w:tcPr>
            <w:tcW w:w="2503" w:type="pct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BE049F" w:rsidRPr="00BE049F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9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497" w:type="pct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BE049F" w:rsidRPr="00BE049F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9F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434B4C" w:rsidTr="00B2262E">
        <w:tc>
          <w:tcPr>
            <w:tcW w:w="209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4B4C" w:rsidRPr="006E2E27" w:rsidRDefault="00434B4C" w:rsidP="00EE32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Javier de Cos Ruiz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34B4C" w:rsidRPr="006E2E27" w:rsidRDefault="00434B4C" w:rsidP="00EE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E2E27">
              <w:rPr>
                <w:rFonts w:ascii="Arial" w:hAnsi="Arial" w:cs="Arial"/>
                <w:sz w:val="24"/>
                <w:szCs w:val="24"/>
              </w:rPr>
              <w:t>rancisco.decos@uca.es</w:t>
            </w:r>
          </w:p>
        </w:tc>
      </w:tr>
      <w:tr w:rsidR="00442C91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442C91" w:rsidRPr="00E80631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</w:tr>
      <w:tr w:rsidR="00C843B4" w:rsidTr="009A5072">
        <w:tc>
          <w:tcPr>
            <w:tcW w:w="3194" w:type="pct"/>
            <w:gridSpan w:val="10"/>
            <w:shd w:val="pct10" w:color="auto" w:fill="auto"/>
          </w:tcPr>
          <w:p w:rsidR="00C843B4" w:rsidRPr="00E80631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806" w:type="pct"/>
            <w:gridSpan w:val="5"/>
            <w:shd w:val="pct10" w:color="auto" w:fill="auto"/>
          </w:tcPr>
          <w:p w:rsidR="00C843B4" w:rsidRPr="00E80631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Categoría</w:t>
            </w:r>
            <w:r w:rsidR="00ED6144" w:rsidRPr="00E80631">
              <w:rPr>
                <w:rFonts w:ascii="Arial" w:hAnsi="Arial" w:cs="Arial"/>
                <w:sz w:val="24"/>
                <w:szCs w:val="24"/>
              </w:rPr>
              <w:t>/Institución</w:t>
            </w:r>
          </w:p>
        </w:tc>
      </w:tr>
      <w:tr w:rsidR="00B2262E" w:rsidTr="009A5072">
        <w:tc>
          <w:tcPr>
            <w:tcW w:w="3194" w:type="pct"/>
            <w:gridSpan w:val="10"/>
          </w:tcPr>
          <w:p w:rsidR="00B2262E" w:rsidRPr="00E80631" w:rsidRDefault="00B2262E" w:rsidP="00552E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 Javier de Cos Ruiz </w:t>
            </w:r>
          </w:p>
        </w:tc>
        <w:tc>
          <w:tcPr>
            <w:tcW w:w="1806" w:type="pct"/>
            <w:gridSpan w:val="5"/>
          </w:tcPr>
          <w:p w:rsidR="00B2262E" w:rsidRPr="00E80631" w:rsidRDefault="00B2262E" w:rsidP="00B22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Contratado/UCA</w:t>
            </w:r>
          </w:p>
        </w:tc>
      </w:tr>
      <w:tr w:rsidR="00B2262E" w:rsidTr="009A5072">
        <w:tc>
          <w:tcPr>
            <w:tcW w:w="3194" w:type="pct"/>
            <w:gridSpan w:val="10"/>
          </w:tcPr>
          <w:p w:rsidR="00B2262E" w:rsidRPr="00E80631" w:rsidRDefault="00B2262E" w:rsidP="004C27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Crismán Pérez</w:t>
            </w:r>
          </w:p>
        </w:tc>
        <w:tc>
          <w:tcPr>
            <w:tcW w:w="1806" w:type="pct"/>
            <w:gridSpan w:val="5"/>
          </w:tcPr>
          <w:p w:rsidR="00B2262E" w:rsidRPr="00E80631" w:rsidRDefault="00B2262E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PSI/UCA</w:t>
            </w:r>
          </w:p>
        </w:tc>
      </w:tr>
      <w:tr w:rsidR="005D2059" w:rsidTr="009A5072">
        <w:tc>
          <w:tcPr>
            <w:tcW w:w="3194" w:type="pct"/>
            <w:gridSpan w:val="10"/>
          </w:tcPr>
          <w:p w:rsidR="005D2059" w:rsidRDefault="00960144" w:rsidP="004C27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Macarena Gómez Cabrales</w:t>
            </w:r>
          </w:p>
        </w:tc>
        <w:tc>
          <w:tcPr>
            <w:tcW w:w="1806" w:type="pct"/>
            <w:gridSpan w:val="5"/>
          </w:tcPr>
          <w:p w:rsidR="005D2059" w:rsidRDefault="00960144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Externo/CSLM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B2262E" w:rsidTr="00B2262E">
        <w:tc>
          <w:tcPr>
            <w:tcW w:w="1094" w:type="pct"/>
            <w:gridSpan w:val="3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2950" w:type="pct"/>
            <w:gridSpan w:val="11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956" w:type="pct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</w:tr>
      <w:tr w:rsidR="00B2262E" w:rsidTr="00B2262E">
        <w:tc>
          <w:tcPr>
            <w:tcW w:w="1094" w:type="pct"/>
            <w:gridSpan w:val="3"/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CB6</w:t>
            </w:r>
          </w:p>
        </w:tc>
        <w:tc>
          <w:tcPr>
            <w:tcW w:w="2950" w:type="pct"/>
            <w:gridSpan w:val="11"/>
          </w:tcPr>
          <w:p w:rsidR="00B2262E" w:rsidRDefault="00B2262E" w:rsidP="00E71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956" w:type="pct"/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CB7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E7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Que los estudiantes sepan aplicar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CB8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E7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E7176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CB9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Que los estudiantes sepan comunicar sus conclusiones y los conocimientos y razones últimas que las sustentan a públicos especializados y no especializados de un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lastRenderedPageBreak/>
              <w:t>modo claro y sin ambigüedades.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Básica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CB10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Que los estudiantes posean las habilidades de aprendizaje que les permitan continuar estudiando de un modo que habrá de ser en gran medida autodirigido o autónomo.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CG1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para comunicar y enseñar los conocimientos adquiridos.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CG4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para evaluar críticamente la bibliografía consultada y para encuadrarla en una perspectiva teórica.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CG7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de emplear y construir herramientas fundamentales, desde la programación y la organización del trabajo, según los intereses y las características de los destinatarios, hasta el empleo de los más modernos medios tecnológicos.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CG8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de ser original en el desarrollo y aplicación de ideas para una investigación personal.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CEM20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Conocimiento del planteamiento de destrezas lingüísticas básicas llevado a cabo en el MCERL.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CEM21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Conocimiento exhaustivo de todas las técnicas y estrategias de comunicación y aprendizaje asociadas a cada una de las destrezas.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jc w:val="center"/>
            </w:pPr>
            <w:r w:rsidRPr="002A2ACC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CEM22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de plantear secuencias didácticas dentro de cada destreza.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jc w:val="center"/>
            </w:pPr>
            <w:r w:rsidRPr="002A2ACC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CT1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de análisis y síntesis.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CT2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de organización y planificación.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CT4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Capacidad de tratamiento y gestión de la información. 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CT6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Capacidad para desarrollar trabajo colaborativo.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262E" w:rsidTr="00B2262E">
        <w:tc>
          <w:tcPr>
            <w:tcW w:w="1094" w:type="pct"/>
            <w:gridSpan w:val="3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CT10</w:t>
            </w:r>
          </w:p>
        </w:tc>
        <w:tc>
          <w:tcPr>
            <w:tcW w:w="2950" w:type="pct"/>
            <w:gridSpan w:val="11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Creatividad.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B2262E" w:rsidRDefault="00B2262E" w:rsidP="009A5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RESULTADOS DE APRENDIZAJE</w:t>
            </w:r>
          </w:p>
        </w:tc>
      </w:tr>
      <w:tr w:rsidR="00B2262E" w:rsidTr="00B2262E">
        <w:tc>
          <w:tcPr>
            <w:tcW w:w="876" w:type="pct"/>
            <w:gridSpan w:val="2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4124" w:type="pct"/>
            <w:gridSpan w:val="13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 aprendizaje</w:t>
            </w:r>
          </w:p>
        </w:tc>
      </w:tr>
      <w:tr w:rsidR="00B2262E" w:rsidTr="00B2262E"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</w:t>
            </w:r>
          </w:p>
        </w:tc>
        <w:tc>
          <w:tcPr>
            <w:tcW w:w="4124" w:type="pct"/>
            <w:gridSpan w:val="13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Fomentar el reciclaje y la actualización profesional en la formación del profesorado de español L2.</w:t>
            </w:r>
          </w:p>
        </w:tc>
      </w:tr>
      <w:tr w:rsidR="00B2262E" w:rsidTr="00B2262E"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R2</w:t>
            </w:r>
          </w:p>
        </w:tc>
        <w:tc>
          <w:tcPr>
            <w:tcW w:w="4124" w:type="pct"/>
            <w:gridSpan w:val="13"/>
            <w:tcBorders>
              <w:bottom w:val="single" w:sz="4" w:space="0" w:color="auto"/>
            </w:tcBorders>
          </w:tcPr>
          <w:p w:rsidR="00B2262E" w:rsidRPr="004C058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581">
              <w:rPr>
                <w:rFonts w:ascii="Arial" w:hAnsi="Arial" w:cs="Arial"/>
                <w:sz w:val="24"/>
                <w:szCs w:val="24"/>
                <w:lang w:eastAsia="es-ES"/>
              </w:rPr>
              <w:t>Conceder al alumno la capacidad de diferenciar, desde un punto de vista crítico y bien documentado, entre las diferentes corrientes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metodológicas que se han ido sucediendo a lo largo de la historia en el proceso de enseñanza aprendizaje del español L2.</w:t>
            </w:r>
          </w:p>
        </w:tc>
      </w:tr>
      <w:tr w:rsidR="00B2262E" w:rsidTr="00B2262E"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B2262E" w:rsidRPr="00E80631" w:rsidRDefault="00B2262E" w:rsidP="009A50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</w:t>
            </w:r>
          </w:p>
        </w:tc>
        <w:tc>
          <w:tcPr>
            <w:tcW w:w="4124" w:type="pct"/>
            <w:gridSpan w:val="13"/>
            <w:tcBorders>
              <w:bottom w:val="single" w:sz="4" w:space="0" w:color="auto"/>
            </w:tcBorders>
          </w:tcPr>
          <w:p w:rsidR="00B2262E" w:rsidRPr="00E80631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Aportar al alumno una visión completa de materiales, dinámicas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lastRenderedPageBreak/>
              <w:t>de trabajo, herramientas, técnicas y otras estrategias, de manera que a la hora de elaborar sus propuestas didácticas pueda seleccionar las más acordes según la tipología de alumnado.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 FORMATIVAS</w:t>
            </w:r>
          </w:p>
        </w:tc>
      </w:tr>
      <w:tr w:rsidR="00B2262E" w:rsidTr="009A5072">
        <w:tc>
          <w:tcPr>
            <w:tcW w:w="2655" w:type="pct"/>
            <w:gridSpan w:val="7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345" w:type="pct"/>
            <w:gridSpan w:val="8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Competencias</w:t>
            </w:r>
          </w:p>
        </w:tc>
      </w:tr>
      <w:tr w:rsidR="00B2262E" w:rsidRPr="004A19DF" w:rsidTr="009A5072">
        <w:trPr>
          <w:trHeight w:val="285"/>
        </w:trPr>
        <w:tc>
          <w:tcPr>
            <w:tcW w:w="2655" w:type="pct"/>
            <w:gridSpan w:val="7"/>
          </w:tcPr>
          <w:p w:rsidR="00B2262E" w:rsidRDefault="00B2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Clases expositivas</w:t>
            </w:r>
          </w:p>
        </w:tc>
        <w:tc>
          <w:tcPr>
            <w:tcW w:w="2345" w:type="pct"/>
            <w:gridSpan w:val="8"/>
          </w:tcPr>
          <w:p w:rsidR="00B2262E" w:rsidRPr="00297A3B" w:rsidRDefault="00B2262E" w:rsidP="002151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es-ES"/>
              </w:rPr>
              <w:t>CB6, CB7, CB8, CB9; CEM20, CEM21</w:t>
            </w:r>
          </w:p>
        </w:tc>
      </w:tr>
      <w:tr w:rsidR="00B2262E" w:rsidRPr="004A19DF" w:rsidTr="009A5072">
        <w:trPr>
          <w:trHeight w:val="285"/>
        </w:trPr>
        <w:tc>
          <w:tcPr>
            <w:tcW w:w="2655" w:type="pct"/>
            <w:gridSpan w:val="7"/>
          </w:tcPr>
          <w:p w:rsidR="00B2262E" w:rsidRDefault="00B2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Prácticas y estudio de casos</w:t>
            </w:r>
          </w:p>
        </w:tc>
        <w:tc>
          <w:tcPr>
            <w:tcW w:w="2345" w:type="pct"/>
            <w:gridSpan w:val="8"/>
          </w:tcPr>
          <w:p w:rsidR="00B2262E" w:rsidRPr="00297A3B" w:rsidRDefault="00B2262E" w:rsidP="002151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A3B">
              <w:rPr>
                <w:rFonts w:ascii="Arial" w:hAnsi="Arial" w:cs="Arial"/>
                <w:sz w:val="24"/>
                <w:szCs w:val="24"/>
                <w:lang w:val="en-US"/>
              </w:rPr>
              <w:t>CG1, CG4, CG7, CG8; CEM22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CT1, CT6, CT10</w:t>
            </w:r>
          </w:p>
        </w:tc>
      </w:tr>
      <w:tr w:rsidR="00B2262E" w:rsidTr="009A5072">
        <w:trPr>
          <w:trHeight w:val="285"/>
        </w:trPr>
        <w:tc>
          <w:tcPr>
            <w:tcW w:w="2655" w:type="pct"/>
            <w:gridSpan w:val="7"/>
          </w:tcPr>
          <w:p w:rsidR="00B2262E" w:rsidRDefault="00B2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Trabajo autónomo y en el Campus Virtual</w:t>
            </w:r>
          </w:p>
        </w:tc>
        <w:tc>
          <w:tcPr>
            <w:tcW w:w="2345" w:type="pct"/>
            <w:gridSpan w:val="8"/>
          </w:tcPr>
          <w:p w:rsidR="00B2262E" w:rsidRPr="00E80631" w:rsidRDefault="00B2262E" w:rsidP="002151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CB10;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CT2, CT4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r w:rsidR="00960144" w:rsidRPr="00960144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B2262E" w:rsidTr="009A5072">
        <w:tc>
          <w:tcPr>
            <w:tcW w:w="3369" w:type="pct"/>
            <w:gridSpan w:val="11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Sistema</w:t>
            </w:r>
          </w:p>
        </w:tc>
        <w:tc>
          <w:tcPr>
            <w:tcW w:w="1631" w:type="pct"/>
            <w:gridSpan w:val="4"/>
            <w:shd w:val="pct10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Valor porcentual</w:t>
            </w:r>
          </w:p>
        </w:tc>
      </w:tr>
      <w:tr w:rsidR="00B2262E" w:rsidTr="009A5072">
        <w:tc>
          <w:tcPr>
            <w:tcW w:w="3369" w:type="pct"/>
            <w:gridSpan w:val="11"/>
            <w:tcBorders>
              <w:bottom w:val="single" w:sz="4" w:space="0" w:color="auto"/>
            </w:tcBorders>
          </w:tcPr>
          <w:p w:rsidR="00B2262E" w:rsidRDefault="00B22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274">
              <w:rPr>
                <w:rFonts w:ascii="Arial" w:hAnsi="Arial" w:cs="Arial"/>
                <w:sz w:val="24"/>
                <w:szCs w:val="24"/>
              </w:rPr>
              <w:t>Presentación de memoria o Análisis / elaboración de actividades de destrezas comunicativas</w:t>
            </w:r>
          </w:p>
        </w:tc>
        <w:tc>
          <w:tcPr>
            <w:tcW w:w="1631" w:type="pct"/>
            <w:gridSpan w:val="4"/>
            <w:tcBorders>
              <w:bottom w:val="single" w:sz="4" w:space="0" w:color="auto"/>
            </w:tcBorders>
          </w:tcPr>
          <w:p w:rsidR="00B2262E" w:rsidRDefault="00B22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70 %</w:t>
            </w:r>
          </w:p>
        </w:tc>
      </w:tr>
      <w:tr w:rsidR="00B2262E" w:rsidTr="009A5072">
        <w:tc>
          <w:tcPr>
            <w:tcW w:w="3369" w:type="pct"/>
            <w:gridSpan w:val="11"/>
            <w:tcBorders>
              <w:bottom w:val="single" w:sz="4" w:space="0" w:color="auto"/>
            </w:tcBorders>
          </w:tcPr>
          <w:p w:rsidR="00B2262E" w:rsidRDefault="00B22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del alumno en clase</w:t>
            </w:r>
          </w:p>
        </w:tc>
        <w:tc>
          <w:tcPr>
            <w:tcW w:w="1631" w:type="pct"/>
            <w:gridSpan w:val="4"/>
            <w:tcBorders>
              <w:bottom w:val="single" w:sz="4" w:space="0" w:color="auto"/>
            </w:tcBorders>
          </w:tcPr>
          <w:p w:rsidR="00B2262E" w:rsidRDefault="00B22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DESCRIPCIÓN DE LOS CONTENIDOS</w:t>
            </w:r>
          </w:p>
        </w:tc>
      </w:tr>
      <w:tr w:rsidR="00B2262E" w:rsidTr="009A5072">
        <w:tc>
          <w:tcPr>
            <w:tcW w:w="2744" w:type="pct"/>
            <w:gridSpan w:val="8"/>
            <w:shd w:val="pct10" w:color="auto" w:fill="auto"/>
            <w:vAlign w:val="center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139" w:type="pct"/>
            <w:gridSpan w:val="5"/>
            <w:shd w:val="pct10" w:color="auto" w:fill="auto"/>
            <w:vAlign w:val="center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Competencias relacionadas</w:t>
            </w:r>
          </w:p>
        </w:tc>
        <w:tc>
          <w:tcPr>
            <w:tcW w:w="1117" w:type="pct"/>
            <w:gridSpan w:val="2"/>
            <w:shd w:val="pct10" w:color="auto" w:fill="auto"/>
            <w:vAlign w:val="center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Resultados de aprendizajes relacionados</w:t>
            </w:r>
          </w:p>
        </w:tc>
      </w:tr>
      <w:tr w:rsidR="00B2262E" w:rsidTr="001E33A2"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Introducción: actividades comunicativas de la lengua y estrategias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Pr="00A75E30" w:rsidRDefault="00B2262E" w:rsidP="001E33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30">
              <w:rPr>
                <w:rFonts w:ascii="Arial" w:hAnsi="Arial" w:cs="Arial"/>
                <w:sz w:val="24"/>
                <w:szCs w:val="24"/>
              </w:rPr>
              <w:t>CEM20</w:t>
            </w:r>
          </w:p>
        </w:tc>
        <w:tc>
          <w:tcPr>
            <w:tcW w:w="1117" w:type="pct"/>
            <w:gridSpan w:val="2"/>
            <w:vMerge w:val="restart"/>
            <w:vAlign w:val="center"/>
          </w:tcPr>
          <w:p w:rsidR="00B2262E" w:rsidRPr="009A5072" w:rsidRDefault="00B2262E" w:rsidP="009A5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072">
              <w:rPr>
                <w:rFonts w:ascii="Arial" w:hAnsi="Arial" w:cs="Arial"/>
                <w:sz w:val="24"/>
                <w:szCs w:val="24"/>
              </w:rPr>
              <w:t>R1, R2, R3</w:t>
            </w:r>
          </w:p>
        </w:tc>
      </w:tr>
      <w:tr w:rsidR="00B2262E" w:rsidTr="001E33A2"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2151F4"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>comprensión oral y escrita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Pr="00A75E30" w:rsidRDefault="00B2262E" w:rsidP="001E33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3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EM21, CEM22</w:t>
            </w:r>
          </w:p>
        </w:tc>
        <w:tc>
          <w:tcPr>
            <w:tcW w:w="1117" w:type="pct"/>
            <w:gridSpan w:val="2"/>
            <w:vMerge/>
          </w:tcPr>
          <w:p w:rsidR="00B2262E" w:rsidRPr="00E80631" w:rsidRDefault="00B2262E" w:rsidP="0021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2E" w:rsidTr="001E33A2"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La expresión oral y escrita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Pr="00A75E30" w:rsidRDefault="00B2262E" w:rsidP="001E33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3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EM21, CEM22</w:t>
            </w:r>
          </w:p>
        </w:tc>
        <w:tc>
          <w:tcPr>
            <w:tcW w:w="1117" w:type="pct"/>
            <w:gridSpan w:val="2"/>
            <w:vMerge/>
          </w:tcPr>
          <w:p w:rsidR="00B2262E" w:rsidRPr="00E80631" w:rsidRDefault="00B2262E" w:rsidP="0021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2E" w:rsidTr="001E33A2">
        <w:trPr>
          <w:trHeight w:val="202"/>
        </w:trPr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La interacción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Default="00B2262E" w:rsidP="001E33A2">
            <w:pPr>
              <w:spacing w:after="0"/>
              <w:jc w:val="center"/>
            </w:pPr>
            <w:r w:rsidRPr="00BA7F78">
              <w:rPr>
                <w:rFonts w:ascii="Arial" w:hAnsi="Arial" w:cs="Arial"/>
                <w:sz w:val="24"/>
                <w:szCs w:val="24"/>
              </w:rPr>
              <w:t>CEM21, CEM22</w:t>
            </w:r>
          </w:p>
        </w:tc>
        <w:tc>
          <w:tcPr>
            <w:tcW w:w="1117" w:type="pct"/>
            <w:gridSpan w:val="2"/>
            <w:vMerge/>
          </w:tcPr>
          <w:p w:rsidR="00B2262E" w:rsidRPr="00E80631" w:rsidRDefault="00B2262E" w:rsidP="0021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2E" w:rsidTr="001E33A2">
        <w:trPr>
          <w:trHeight w:val="394"/>
        </w:trPr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La mediación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Default="00B2262E" w:rsidP="001E33A2">
            <w:pPr>
              <w:spacing w:after="0"/>
              <w:jc w:val="center"/>
            </w:pPr>
            <w:r w:rsidRPr="00BA7F78">
              <w:rPr>
                <w:rFonts w:ascii="Arial" w:hAnsi="Arial" w:cs="Arial"/>
                <w:sz w:val="24"/>
                <w:szCs w:val="24"/>
              </w:rPr>
              <w:t>CEM21, CEM22</w:t>
            </w:r>
          </w:p>
        </w:tc>
        <w:tc>
          <w:tcPr>
            <w:tcW w:w="1117" w:type="pct"/>
            <w:gridSpan w:val="2"/>
            <w:vMerge/>
          </w:tcPr>
          <w:p w:rsidR="00B2262E" w:rsidRPr="00E80631" w:rsidRDefault="00B2262E" w:rsidP="0021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2E" w:rsidTr="001E33A2">
        <w:trPr>
          <w:trHeight w:val="274"/>
        </w:trPr>
        <w:tc>
          <w:tcPr>
            <w:tcW w:w="2744" w:type="pct"/>
            <w:gridSpan w:val="8"/>
            <w:tcBorders>
              <w:bottom w:val="single" w:sz="4" w:space="0" w:color="auto"/>
            </w:tcBorders>
            <w:vAlign w:val="center"/>
          </w:tcPr>
          <w:p w:rsidR="00B2262E" w:rsidRPr="002151F4" w:rsidRDefault="00B2262E" w:rsidP="001E33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Materiales en la web</w:t>
            </w:r>
          </w:p>
        </w:tc>
        <w:tc>
          <w:tcPr>
            <w:tcW w:w="1139" w:type="pct"/>
            <w:gridSpan w:val="5"/>
            <w:tcBorders>
              <w:bottom w:val="single" w:sz="4" w:space="0" w:color="auto"/>
            </w:tcBorders>
            <w:vAlign w:val="center"/>
          </w:tcPr>
          <w:p w:rsidR="00B2262E" w:rsidRDefault="00B2262E" w:rsidP="001E33A2">
            <w:pPr>
              <w:spacing w:after="0"/>
              <w:jc w:val="center"/>
            </w:pPr>
            <w:r w:rsidRPr="00BA7F78">
              <w:rPr>
                <w:rFonts w:ascii="Arial" w:hAnsi="Arial" w:cs="Arial"/>
                <w:sz w:val="24"/>
                <w:szCs w:val="24"/>
              </w:rPr>
              <w:t>CEM21, CEM22</w:t>
            </w:r>
          </w:p>
        </w:tc>
        <w:tc>
          <w:tcPr>
            <w:tcW w:w="1117" w:type="pct"/>
            <w:gridSpan w:val="2"/>
            <w:vMerge/>
          </w:tcPr>
          <w:p w:rsidR="00B2262E" w:rsidRPr="00E80631" w:rsidRDefault="00B2262E" w:rsidP="0021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2E" w:rsidTr="00DF582D">
        <w:tc>
          <w:tcPr>
            <w:tcW w:w="5000" w:type="pct"/>
            <w:gridSpan w:val="15"/>
            <w:shd w:val="pct25" w:color="auto" w:fill="auto"/>
          </w:tcPr>
          <w:p w:rsidR="00B2262E" w:rsidRPr="00E80631" w:rsidRDefault="00B2262E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RECOMENDADA</w:t>
            </w:r>
          </w:p>
        </w:tc>
      </w:tr>
      <w:tr w:rsidR="00B2262E" w:rsidTr="00DF582D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B2262E" w:rsidRDefault="00B2262E" w:rsidP="00ED3F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Marcos de referencia</w:t>
            </w:r>
          </w:p>
          <w:p w:rsidR="00B2262E" w:rsidRPr="00ED3F04" w:rsidRDefault="00B2262E" w:rsidP="00ED3F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E30">
              <w:rPr>
                <w:rFonts w:ascii="Arial" w:hAnsi="Arial" w:cs="Arial"/>
                <w:sz w:val="24"/>
                <w:szCs w:val="24"/>
                <w:lang w:val="en-US"/>
              </w:rPr>
              <w:t xml:space="preserve">COUNCIL OF EUROPE (2001): </w:t>
            </w:r>
            <w:r w:rsidRPr="00A75E30">
              <w:rPr>
                <w:rFonts w:ascii="Arial" w:hAnsi="Arial" w:cs="Arial"/>
                <w:i/>
                <w:sz w:val="24"/>
                <w:szCs w:val="24"/>
                <w:lang w:val="en-US"/>
              </w:rPr>
              <w:t>Common European Framework of Reference for Languages Learning, Teaching, Assessment</w:t>
            </w:r>
            <w:r w:rsidRPr="00A75E30">
              <w:rPr>
                <w:rFonts w:ascii="Arial" w:hAnsi="Arial" w:cs="Arial"/>
                <w:sz w:val="24"/>
                <w:szCs w:val="24"/>
                <w:lang w:val="en-US"/>
              </w:rPr>
              <w:t xml:space="preserve">, Strasbourg [en línea] &lt;http://culture.coe.int/lang&gt;. </w:t>
            </w:r>
            <w:r w:rsidRPr="00A75E30">
              <w:rPr>
                <w:rFonts w:ascii="Arial" w:hAnsi="Arial" w:cs="Arial"/>
                <w:sz w:val="24"/>
                <w:szCs w:val="24"/>
              </w:rPr>
              <w:t xml:space="preserve">Traducción-adaptación al español: MINISTERIO DE EDUCACIÓN, CULTURA Y DEPORTE e INSTITUTO CERVANTES, (2002): </w:t>
            </w:r>
            <w:r w:rsidRPr="00A75E30">
              <w:rPr>
                <w:rFonts w:ascii="Arial" w:hAnsi="Arial" w:cs="Arial"/>
                <w:i/>
                <w:sz w:val="24"/>
                <w:szCs w:val="24"/>
              </w:rPr>
              <w:t>Marco común europeo de referencia para las lenguas: aprendizaje, enseñanza, evaluación</w:t>
            </w:r>
            <w:r w:rsidRPr="00A75E30">
              <w:rPr>
                <w:rFonts w:ascii="Arial" w:hAnsi="Arial" w:cs="Arial"/>
                <w:sz w:val="24"/>
                <w:szCs w:val="24"/>
              </w:rPr>
              <w:t xml:space="preserve">, Madrid [en línea] </w:t>
            </w:r>
            <w:r>
              <w:rPr>
                <w:rFonts w:ascii="Arial" w:hAnsi="Arial" w:cs="Arial"/>
                <w:sz w:val="24"/>
                <w:szCs w:val="24"/>
              </w:rPr>
              <w:t xml:space="preserve"> &lt;</w:t>
            </w:r>
            <w:r w:rsidRPr="00A75E30">
              <w:rPr>
                <w:rFonts w:ascii="Arial" w:hAnsi="Arial" w:cs="Arial"/>
                <w:sz w:val="24"/>
                <w:szCs w:val="24"/>
              </w:rPr>
              <w:t>http://cvc.cervantes.es/obref/marco&gt;.</w:t>
            </w:r>
          </w:p>
          <w:p w:rsidR="00B2262E" w:rsidRPr="00ED3F04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04">
              <w:rPr>
                <w:rFonts w:ascii="Arial" w:hAnsi="Arial" w:cs="Arial"/>
                <w:sz w:val="24"/>
                <w:szCs w:val="24"/>
              </w:rPr>
              <w:t xml:space="preserve">INSTITUTO CERVANTES (2006): </w:t>
            </w:r>
            <w:r w:rsidRPr="00ED3F04">
              <w:rPr>
                <w:rFonts w:ascii="Arial" w:hAnsi="Arial" w:cs="Arial"/>
                <w:i/>
                <w:sz w:val="24"/>
                <w:szCs w:val="24"/>
              </w:rPr>
              <w:t xml:space="preserve">Plan Curricular del Instituto Cervantes. Niveles de referencia para el español </w:t>
            </w:r>
            <w:r w:rsidRPr="00ED3F04">
              <w:rPr>
                <w:rFonts w:ascii="Arial" w:hAnsi="Arial" w:cs="Arial"/>
                <w:sz w:val="24"/>
                <w:szCs w:val="24"/>
              </w:rPr>
              <w:t>[en línea] &lt;http://cvc.cervantes.es/ensenanza/biblioteca_ele/plan_curricular/default.htm&gt;.</w:t>
            </w:r>
          </w:p>
          <w:p w:rsidR="00B2262E" w:rsidRDefault="00B2262E" w:rsidP="00ED3F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262E" w:rsidRDefault="00B2262E" w:rsidP="00ED3F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Monografías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FA1">
              <w:rPr>
                <w:rFonts w:ascii="Arial" w:hAnsi="Arial" w:cs="Arial"/>
                <w:sz w:val="24"/>
                <w:szCs w:val="24"/>
              </w:rPr>
              <w:t>CASSANY, 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A0FA1">
              <w:rPr>
                <w:rFonts w:ascii="Arial" w:hAnsi="Arial" w:cs="Arial"/>
                <w:sz w:val="24"/>
                <w:szCs w:val="24"/>
              </w:rPr>
              <w:t xml:space="preserve">(2005): </w:t>
            </w:r>
            <w:r w:rsidRPr="008A0FA1">
              <w:rPr>
                <w:rFonts w:ascii="Arial" w:hAnsi="Arial" w:cs="Arial"/>
                <w:i/>
                <w:iCs/>
                <w:sz w:val="24"/>
                <w:szCs w:val="24"/>
              </w:rPr>
              <w:t>Expresión escrita en L2/ELE</w:t>
            </w:r>
            <w:r w:rsidRPr="008A0FA1">
              <w:rPr>
                <w:rFonts w:ascii="Arial" w:hAnsi="Arial" w:cs="Arial"/>
                <w:sz w:val="24"/>
                <w:szCs w:val="24"/>
              </w:rPr>
              <w:t>, Madrid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74">
              <w:rPr>
                <w:rFonts w:ascii="Arial" w:hAnsi="Arial" w:cs="Arial"/>
                <w:sz w:val="24"/>
                <w:szCs w:val="24"/>
              </w:rPr>
              <w:t xml:space="preserve">COS RUIZ, F. J. de y otros (2003): </w:t>
            </w:r>
            <w:r w:rsidRPr="002F427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¡Vamos a ver! Curso multimedia de español, </w:t>
            </w:r>
            <w:r w:rsidRPr="002F4274">
              <w:rPr>
                <w:rFonts w:ascii="Arial" w:hAnsi="Arial" w:cs="Arial"/>
                <w:sz w:val="24"/>
                <w:szCs w:val="24"/>
              </w:rPr>
              <w:t>CD-Rom / Universidad de Cádiz, Servicio de Publicaciones.</w:t>
            </w:r>
            <w:r w:rsidRPr="002F4274">
              <w:rPr>
                <w:rFonts w:ascii="Arial" w:hAnsi="Arial" w:cs="Arial"/>
                <w:sz w:val="24"/>
                <w:szCs w:val="24"/>
              </w:rPr>
              <w:br/>
            </w:r>
            <w:r w:rsidRPr="002F4274">
              <w:rPr>
                <w:rFonts w:ascii="Arial" w:hAnsi="Arial" w:cs="Arial"/>
                <w:sz w:val="24"/>
                <w:szCs w:val="24"/>
              </w:rPr>
              <w:lastRenderedPageBreak/>
              <w:t xml:space="preserve">COS RUIZ, F. J. de:   </w:t>
            </w: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2F4274">
              <w:rPr>
                <w:rFonts w:ascii="Arial" w:hAnsi="Arial" w:cs="Arial"/>
                <w:sz w:val="24"/>
                <w:szCs w:val="24"/>
              </w:rPr>
              <w:t>La planificación de la clase de ELE: fundamentos metodológicos y recursos didácticos", Open Course Ware (OCW) de la Universidad de Cádiz, identificador &lt;</w:t>
            </w:r>
            <w:hyperlink r:id="rId9" w:tgtFrame="_blank" w:history="1">
              <w:r w:rsidRPr="002F4274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http://ocw.uca.es/course/view.php?id=18</w:t>
              </w:r>
            </w:hyperlink>
            <w:r w:rsidRPr="002F4274">
              <w:rPr>
                <w:rFonts w:ascii="Arial" w:hAnsi="Arial" w:cs="Arial"/>
                <w:sz w:val="24"/>
                <w:szCs w:val="24"/>
              </w:rPr>
              <w:t>&gt;.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D7BEC">
              <w:rPr>
                <w:rFonts w:ascii="Arial" w:hAnsi="Arial" w:cs="Arial"/>
                <w:sz w:val="24"/>
                <w:szCs w:val="24"/>
              </w:rPr>
              <w:t>JUAN LÁZARO, O. (2001):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7BEC">
              <w:rPr>
                <w:rFonts w:ascii="Arial" w:hAnsi="Arial" w:cs="Arial"/>
                <w:i/>
                <w:iCs/>
                <w:sz w:val="24"/>
                <w:szCs w:val="24"/>
              </w:rPr>
              <w:t>Uso de Internet en el aula</w:t>
            </w:r>
            <w:r w:rsidRPr="005D7BEC">
              <w:rPr>
                <w:rFonts w:ascii="Arial" w:hAnsi="Arial" w:cs="Arial"/>
                <w:sz w:val="24"/>
                <w:szCs w:val="24"/>
              </w:rPr>
              <w:t>, Madrid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FA1">
              <w:rPr>
                <w:rFonts w:ascii="Arial" w:hAnsi="Arial" w:cs="Arial"/>
                <w:sz w:val="24"/>
                <w:szCs w:val="24"/>
              </w:rPr>
              <w:t xml:space="preserve">LÓPEZ GARCÍA, A (2002): </w:t>
            </w:r>
            <w:r w:rsidRPr="008A0FA1">
              <w:rPr>
                <w:rFonts w:ascii="Arial" w:hAnsi="Arial" w:cs="Arial"/>
                <w:i/>
                <w:iCs/>
                <w:sz w:val="24"/>
                <w:szCs w:val="24"/>
              </w:rPr>
              <w:t>Comprensión oral del español</w:t>
            </w:r>
            <w:r w:rsidRPr="008A0FA1">
              <w:rPr>
                <w:rFonts w:ascii="Arial" w:hAnsi="Arial" w:cs="Arial"/>
                <w:sz w:val="24"/>
                <w:szCs w:val="24"/>
              </w:rPr>
              <w:t>, Madrid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117">
              <w:rPr>
                <w:rFonts w:ascii="Arial" w:hAnsi="Arial" w:cs="Arial"/>
                <w:sz w:val="24"/>
                <w:szCs w:val="24"/>
              </w:rPr>
              <w:t>MORENO FERNÁNDEZ, 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F4117">
              <w:rPr>
                <w:rFonts w:ascii="Arial" w:hAnsi="Arial" w:cs="Arial"/>
                <w:sz w:val="24"/>
                <w:szCs w:val="24"/>
              </w:rPr>
              <w:t xml:space="preserve"> (2002): </w:t>
            </w:r>
            <w:r w:rsidRPr="001F4117">
              <w:rPr>
                <w:rFonts w:ascii="Arial" w:hAnsi="Arial" w:cs="Arial"/>
                <w:i/>
                <w:iCs/>
                <w:sz w:val="24"/>
                <w:szCs w:val="24"/>
              </w:rPr>
              <w:t>Producción, expresión e interacción oral</w:t>
            </w:r>
            <w:r w:rsidRPr="001F41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117">
              <w:rPr>
                <w:rFonts w:ascii="Arial" w:hAnsi="Arial" w:cs="Arial"/>
                <w:sz w:val="24"/>
                <w:szCs w:val="24"/>
              </w:rPr>
              <w:t>Madrid.</w:t>
            </w:r>
          </w:p>
          <w:p w:rsidR="00B2262E" w:rsidRPr="00DF582D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82D">
              <w:rPr>
                <w:rFonts w:ascii="Arial" w:hAnsi="Arial" w:cs="Arial"/>
                <w:sz w:val="24"/>
                <w:szCs w:val="24"/>
              </w:rPr>
              <w:t>MUÑOZ, C. (ed.) (2000)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F5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8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Segundas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lenguas: Adquisición en el aula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Madrid.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83A5F">
              <w:rPr>
                <w:rFonts w:ascii="Arial" w:hAnsi="Arial" w:cs="Arial"/>
                <w:sz w:val="24"/>
                <w:szCs w:val="24"/>
                <w:lang w:val="es-ES_tradnl"/>
              </w:rPr>
              <w:t>SÁNCHEZ LOBATO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J. y </w:t>
            </w:r>
            <w:r w:rsidRPr="00883A5F">
              <w:rPr>
                <w:rFonts w:ascii="Arial" w:hAnsi="Arial" w:cs="Arial"/>
                <w:sz w:val="24"/>
                <w:szCs w:val="24"/>
                <w:lang w:val="es-ES_tradnl"/>
              </w:rPr>
              <w:t>SANTOS GARGALLO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I. (dirs.) (2004): </w:t>
            </w:r>
            <w:r w:rsidRPr="00883A5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Vademécum para la formación de profesores. Enseñar español como segunda lengua (L2)/lengua extranjera (LE)</w:t>
            </w:r>
            <w:r w:rsidRPr="00883A5F">
              <w:rPr>
                <w:rFonts w:ascii="Arial" w:hAnsi="Arial" w:cs="Arial"/>
                <w:sz w:val="24"/>
                <w:szCs w:val="24"/>
                <w:lang w:val="es-ES_tradnl"/>
              </w:rPr>
              <w:t>, Madrid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04">
              <w:rPr>
                <w:rFonts w:ascii="Arial" w:hAnsi="Arial" w:cs="Arial"/>
                <w:sz w:val="24"/>
                <w:szCs w:val="24"/>
              </w:rPr>
              <w:t>VÁZQUEZ, G. (2000)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D3F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 destreza oral, </w:t>
            </w:r>
            <w:r w:rsidRPr="00ED3F04">
              <w:rPr>
                <w:rFonts w:ascii="Arial" w:hAnsi="Arial" w:cs="Arial"/>
                <w:sz w:val="24"/>
                <w:szCs w:val="24"/>
              </w:rPr>
              <w:t>Madrid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262E" w:rsidRDefault="00B2262E" w:rsidP="009A50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VV. AA. (2000):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El desarrollo de la </w:t>
            </w:r>
            <w:r w:rsidRPr="00955FD9">
              <w:rPr>
                <w:rFonts w:ascii="Arial" w:hAnsi="Arial" w:cs="Arial"/>
                <w:i/>
                <w:sz w:val="24"/>
                <w:szCs w:val="24"/>
              </w:rPr>
              <w:t>expresión oral en el aula E/LE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Carabela, </w:t>
            </w:r>
            <w:r>
              <w:rPr>
                <w:rFonts w:ascii="Arial" w:hAnsi="Arial" w:cs="Arial"/>
                <w:sz w:val="24"/>
                <w:szCs w:val="24"/>
              </w:rPr>
              <w:t xml:space="preserve">Revista de metodología y didáctica del español como lengua extranjera, nº.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47, Madrid.</w:t>
            </w:r>
          </w:p>
          <w:p w:rsidR="00B2262E" w:rsidRPr="00ED3F04" w:rsidRDefault="00B2262E" w:rsidP="001E3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VV. AA. (2001):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El desarrollo de la comprensión auditiva </w:t>
            </w:r>
            <w:r w:rsidRPr="00955FD9">
              <w:rPr>
                <w:rFonts w:ascii="Arial" w:hAnsi="Arial" w:cs="Arial"/>
                <w:i/>
                <w:sz w:val="24"/>
                <w:szCs w:val="24"/>
              </w:rPr>
              <w:t>en el aula E/LE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Carabela, </w:t>
            </w:r>
            <w:r>
              <w:rPr>
                <w:rFonts w:ascii="Arial" w:hAnsi="Arial" w:cs="Arial"/>
                <w:sz w:val="24"/>
                <w:szCs w:val="24"/>
              </w:rPr>
              <w:t xml:space="preserve">Revista de metodología y didáctica del español como lengua extranjera, n.º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49, Madrid.</w:t>
            </w:r>
          </w:p>
        </w:tc>
      </w:tr>
    </w:tbl>
    <w:p w:rsidR="00F5130A" w:rsidRDefault="00F5130A" w:rsidP="00F5130A">
      <w:pPr>
        <w:jc w:val="both"/>
        <w:rPr>
          <w:rFonts w:ascii="Arial" w:hAnsi="Arial" w:cs="Arial"/>
          <w:sz w:val="24"/>
          <w:szCs w:val="24"/>
        </w:rPr>
      </w:pPr>
    </w:p>
    <w:p w:rsidR="00960144" w:rsidRPr="00960144" w:rsidRDefault="00960144" w:rsidP="00F5130A">
      <w:pPr>
        <w:jc w:val="both"/>
        <w:rPr>
          <w:rFonts w:ascii="Arial" w:hAnsi="Arial" w:cs="Arial"/>
          <w:sz w:val="24"/>
          <w:szCs w:val="24"/>
        </w:rPr>
      </w:pPr>
      <w:r w:rsidRPr="00960144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960144">
        <w:rPr>
          <w:rFonts w:asciiTheme="minorHAnsi" w:hAnsiTheme="minorHAnsi" w:cs="Arial"/>
        </w:rPr>
        <w:t>Debe contemplarse</w:t>
      </w:r>
      <w:r>
        <w:rPr>
          <w:rFonts w:asciiTheme="minorHAnsi" w:hAnsiTheme="minorHAnsi" w:cs="Arial"/>
        </w:rPr>
        <w:t xml:space="preserve"> </w:t>
      </w:r>
      <w:r w:rsidRPr="00960144">
        <w:rPr>
          <w:rFonts w:asciiTheme="minorHAnsi" w:hAnsiTheme="minorHAnsi" w:cs="Arial"/>
        </w:rPr>
        <w:t xml:space="preserve">lo contenido en la </w:t>
      </w:r>
      <w:r w:rsidRPr="00960144">
        <w:rPr>
          <w:rFonts w:asciiTheme="minorHAnsi" w:hAnsiTheme="minorHAnsi"/>
        </w:rPr>
        <w:t>INSTRUCCIÓN SOBRE PROCEDIMIENTO DE EVALUACIÓN GLOBAL (Aprobada por Junta de Facultad de 9 de abril de 2018)</w:t>
      </w:r>
      <w:r>
        <w:rPr>
          <w:rFonts w:asciiTheme="minorHAnsi" w:hAnsiTheme="minorHAnsi"/>
        </w:rPr>
        <w:t xml:space="preserve">, </w:t>
      </w:r>
      <w:hyperlink r:id="rId10" w:history="1">
        <w:r w:rsidRPr="00960144">
          <w:rPr>
            <w:rStyle w:val="Hipervnculo"/>
            <w:rFonts w:asciiTheme="minorHAnsi" w:hAnsiTheme="minorHAnsi"/>
            <w:sz w:val="18"/>
            <w:szCs w:val="18"/>
          </w:rPr>
          <w:t>http://filosofia.uca.es/wp-content/uploads/2</w:t>
        </w:r>
        <w:bookmarkStart w:id="0" w:name="_GoBack"/>
        <w:bookmarkEnd w:id="0"/>
        <w:r w:rsidRPr="00960144">
          <w:rPr>
            <w:rStyle w:val="Hipervnculo"/>
            <w:rFonts w:asciiTheme="minorHAnsi" w:hAnsiTheme="minorHAnsi"/>
            <w:sz w:val="18"/>
            <w:szCs w:val="18"/>
          </w:rPr>
          <w:t>018/04/Instruccion-Evaluacion-global.pdf?u</w:t>
        </w:r>
      </w:hyperlink>
      <w:r w:rsidRPr="00960144">
        <w:rPr>
          <w:rFonts w:asciiTheme="minorHAnsi" w:hAnsiTheme="minorHAnsi"/>
          <w:sz w:val="18"/>
          <w:szCs w:val="18"/>
        </w:rPr>
        <w:t>, fecha consulta 29-05-18.</w:t>
      </w:r>
    </w:p>
    <w:sectPr w:rsidR="00960144" w:rsidRPr="00960144" w:rsidSect="00FC2BF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4F" w:rsidRDefault="00DE6C4F" w:rsidP="003C2C49">
      <w:pPr>
        <w:spacing w:after="0" w:line="240" w:lineRule="auto"/>
      </w:pPr>
      <w:r>
        <w:separator/>
      </w:r>
    </w:p>
  </w:endnote>
  <w:endnote w:type="continuationSeparator" w:id="0">
    <w:p w:rsidR="00DE6C4F" w:rsidRDefault="00DE6C4F" w:rsidP="003C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4F" w:rsidRDefault="00DE6C4F" w:rsidP="003C2C49">
      <w:pPr>
        <w:spacing w:after="0" w:line="240" w:lineRule="auto"/>
      </w:pPr>
      <w:r>
        <w:separator/>
      </w:r>
    </w:p>
  </w:footnote>
  <w:footnote w:type="continuationSeparator" w:id="0">
    <w:p w:rsidR="00DE6C4F" w:rsidRDefault="00DE6C4F" w:rsidP="003C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09"/>
      <w:gridCol w:w="200"/>
      <w:gridCol w:w="2891"/>
    </w:tblGrid>
    <w:tr w:rsidR="003C2C49" w:rsidRPr="003C2C49" w:rsidTr="004137A0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3C2C49" w:rsidRPr="00666D1A" w:rsidRDefault="002F4274" w:rsidP="003C2C49">
          <w:pPr>
            <w:tabs>
              <w:tab w:val="left" w:pos="1730"/>
              <w:tab w:val="left" w:pos="4500"/>
              <w:tab w:val="left" w:pos="7380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2047875" cy="942975"/>
                <wp:effectExtent l="0" t="0" r="9525" b="9525"/>
                <wp:docPr id="1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3C2C49" w:rsidRPr="003C2C49" w:rsidRDefault="002F4274" w:rsidP="003C2C49">
          <w:pPr>
            <w:tabs>
              <w:tab w:val="left" w:pos="4500"/>
              <w:tab w:val="left" w:pos="738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38100" cy="933450"/>
                <wp:effectExtent l="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3C2C49" w:rsidRDefault="00434B4C" w:rsidP="00434B4C">
          <w:pPr>
            <w:keepNext/>
            <w:tabs>
              <w:tab w:val="left" w:pos="4500"/>
              <w:tab w:val="left" w:pos="7380"/>
            </w:tabs>
            <w:spacing w:after="0" w:line="240" w:lineRule="auto"/>
            <w:jc w:val="center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24"/>
              <w:szCs w:val="24"/>
              <w:lang w:eastAsia="es-ES"/>
            </w:rPr>
          </w:pPr>
          <w:r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  <w:t>Máster en Estudios Hispánicos</w:t>
          </w:r>
        </w:p>
      </w:tc>
      <w:tc>
        <w:tcPr>
          <w:tcW w:w="193" w:type="dxa"/>
          <w:tcBorders>
            <w:bottom w:val="nil"/>
          </w:tcBorders>
        </w:tcPr>
        <w:p w:rsidR="003C2C49" w:rsidRPr="003C2C49" w:rsidRDefault="002F4274" w:rsidP="003C2C49">
          <w:pPr>
            <w:tabs>
              <w:tab w:val="left" w:pos="4500"/>
              <w:tab w:val="left" w:pos="7380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38100" cy="933450"/>
                <wp:effectExtent l="0" t="0" r="0" b="0"/>
                <wp:docPr id="3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tcBorders>
            <w:bottom w:val="nil"/>
          </w:tcBorders>
        </w:tcPr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</w:p>
        <w:p w:rsidR="003C2C49" w:rsidRPr="00666D1A" w:rsidRDefault="00666D1A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  <w:t>Facultad de Filosofía y Letras</w:t>
          </w:r>
        </w:p>
        <w:p w:rsidR="003C2C49" w:rsidRPr="00666D1A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Avda. Doctor Gómez  Ulla, s/n.</w:t>
          </w:r>
        </w:p>
        <w:p w:rsidR="003C2C49" w:rsidRPr="00666D1A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11003 - Cádiz.</w:t>
          </w:r>
        </w:p>
        <w:p w:rsidR="003C2C49" w:rsidRPr="00666D1A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Teléfono:  956 – 01.55.00</w:t>
          </w:r>
        </w:p>
        <w:p w:rsidR="003C2C49" w:rsidRPr="00666D1A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Fax: 956 – 01.55.01</w:t>
          </w:r>
        </w:p>
        <w:p w:rsidR="003C2C49" w:rsidRPr="003C2C49" w:rsidRDefault="00960144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  <w:hyperlink r:id="rId3" w:history="1">
            <w:r w:rsidR="003C2C49" w:rsidRPr="00666D1A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http://www.uca.es/lfilosofiayletras</w:t>
            </w:r>
          </w:hyperlink>
        </w:p>
      </w:tc>
    </w:tr>
  </w:tbl>
  <w:p w:rsidR="003C2C49" w:rsidRDefault="003C2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75A"/>
    <w:multiLevelType w:val="hybridMultilevel"/>
    <w:tmpl w:val="82DCA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7854"/>
    <w:multiLevelType w:val="hybridMultilevel"/>
    <w:tmpl w:val="CCF43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0A"/>
    <w:rsid w:val="000828AD"/>
    <w:rsid w:val="000D0098"/>
    <w:rsid w:val="001E33A2"/>
    <w:rsid w:val="001F4117"/>
    <w:rsid w:val="002151F4"/>
    <w:rsid w:val="00277DFF"/>
    <w:rsid w:val="00297A3B"/>
    <w:rsid w:val="002A25B5"/>
    <w:rsid w:val="002E2981"/>
    <w:rsid w:val="002F4274"/>
    <w:rsid w:val="003B6D26"/>
    <w:rsid w:val="003C2C49"/>
    <w:rsid w:val="004137A0"/>
    <w:rsid w:val="00434B4C"/>
    <w:rsid w:val="00442C91"/>
    <w:rsid w:val="0049337C"/>
    <w:rsid w:val="004A19DF"/>
    <w:rsid w:val="004C2786"/>
    <w:rsid w:val="004C2959"/>
    <w:rsid w:val="004D2941"/>
    <w:rsid w:val="00591960"/>
    <w:rsid w:val="00591D81"/>
    <w:rsid w:val="005B6EB4"/>
    <w:rsid w:val="005D2059"/>
    <w:rsid w:val="005D7BEC"/>
    <w:rsid w:val="00601F78"/>
    <w:rsid w:val="00653701"/>
    <w:rsid w:val="00666D1A"/>
    <w:rsid w:val="006958EB"/>
    <w:rsid w:val="006C3A7A"/>
    <w:rsid w:val="007162BA"/>
    <w:rsid w:val="007466D5"/>
    <w:rsid w:val="00757073"/>
    <w:rsid w:val="007D2168"/>
    <w:rsid w:val="007D771C"/>
    <w:rsid w:val="00836C58"/>
    <w:rsid w:val="00883A5F"/>
    <w:rsid w:val="008A0FA1"/>
    <w:rsid w:val="008A30BB"/>
    <w:rsid w:val="008E32A8"/>
    <w:rsid w:val="00955FD9"/>
    <w:rsid w:val="00960144"/>
    <w:rsid w:val="0096670A"/>
    <w:rsid w:val="00991C69"/>
    <w:rsid w:val="009A5072"/>
    <w:rsid w:val="009A651A"/>
    <w:rsid w:val="009D1B5A"/>
    <w:rsid w:val="00A75E30"/>
    <w:rsid w:val="00B2262E"/>
    <w:rsid w:val="00B2389A"/>
    <w:rsid w:val="00B83B72"/>
    <w:rsid w:val="00BE049F"/>
    <w:rsid w:val="00BF1593"/>
    <w:rsid w:val="00C843B4"/>
    <w:rsid w:val="00D060D6"/>
    <w:rsid w:val="00D954B4"/>
    <w:rsid w:val="00D9564E"/>
    <w:rsid w:val="00DC169B"/>
    <w:rsid w:val="00DE6C4F"/>
    <w:rsid w:val="00DF582D"/>
    <w:rsid w:val="00E7176B"/>
    <w:rsid w:val="00E80631"/>
    <w:rsid w:val="00ED3F04"/>
    <w:rsid w:val="00ED6144"/>
    <w:rsid w:val="00EE0025"/>
    <w:rsid w:val="00EE327E"/>
    <w:rsid w:val="00F5130A"/>
    <w:rsid w:val="00F54FBC"/>
    <w:rsid w:val="00F57209"/>
    <w:rsid w:val="00FC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3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2C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2C4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C2C4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42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3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2C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2C4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C2C4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42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ilosofia.uca.es/wp-content/uploads/2018/04/Instruccion-Evaluacion-global.pdf?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cw.uca.es/course/view.php?id=1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lfilosofiayletra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64A6-50B5-4D5F-98DD-64B89E10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6901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http://www.uca.es/lfilosofiayletras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usuario</cp:lastModifiedBy>
  <cp:revision>2</cp:revision>
  <cp:lastPrinted>2014-01-10T10:34:00Z</cp:lastPrinted>
  <dcterms:created xsi:type="dcterms:W3CDTF">2018-05-29T17:44:00Z</dcterms:created>
  <dcterms:modified xsi:type="dcterms:W3CDTF">2018-05-29T17:44:00Z</dcterms:modified>
</cp:coreProperties>
</file>